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63" w:rsidRPr="00215563" w:rsidRDefault="00215563" w:rsidP="00215563">
      <w:pPr>
        <w:contextualSpacing/>
        <w:mirrorIndents/>
        <w:rPr>
          <w:rFonts w:ascii="Arial" w:hAnsi="Arial" w:cs="Arial"/>
          <w:b/>
        </w:rPr>
      </w:pPr>
      <w:r w:rsidRPr="00215563">
        <w:rPr>
          <w:rFonts w:ascii="Arial" w:hAnsi="Arial" w:cs="Arial"/>
          <w:b/>
        </w:rPr>
        <w:t xml:space="preserve">Тюменская областная Дума </w:t>
      </w:r>
    </w:p>
    <w:p w:rsidR="00215563" w:rsidRPr="00215563" w:rsidRDefault="00215563" w:rsidP="00215563">
      <w:pPr>
        <w:contextualSpacing/>
        <w:mirrorIndents/>
        <w:rPr>
          <w:rFonts w:ascii="Arial" w:hAnsi="Arial" w:cs="Arial"/>
          <w:b/>
        </w:rPr>
      </w:pPr>
    </w:p>
    <w:p w:rsidR="00215563" w:rsidRPr="00215563" w:rsidRDefault="00215563" w:rsidP="00215563">
      <w:pPr>
        <w:contextualSpacing/>
        <w:mirrorIndents/>
        <w:rPr>
          <w:rFonts w:ascii="Arial" w:hAnsi="Arial" w:cs="Arial"/>
          <w:b/>
        </w:rPr>
      </w:pPr>
      <w:r w:rsidRPr="00215563">
        <w:rPr>
          <w:rFonts w:ascii="Arial" w:hAnsi="Arial" w:cs="Arial"/>
          <w:b/>
        </w:rPr>
        <w:t>ЗАКОН ТЮМЕНСКОЙ ОБЛАСТИ</w:t>
      </w:r>
    </w:p>
    <w:p w:rsidR="00215563" w:rsidRPr="00215563" w:rsidRDefault="00215563" w:rsidP="00215563">
      <w:pPr>
        <w:contextualSpacing/>
        <w:mirrorIndents/>
        <w:rPr>
          <w:rFonts w:ascii="Arial" w:hAnsi="Arial" w:cs="Arial"/>
          <w:b/>
        </w:rPr>
      </w:pPr>
    </w:p>
    <w:p w:rsidR="00215563" w:rsidRPr="00215563" w:rsidRDefault="00215563" w:rsidP="00215563">
      <w:pPr>
        <w:contextualSpacing/>
        <w:mirrorIndents/>
        <w:rPr>
          <w:rFonts w:ascii="Arial" w:hAnsi="Arial" w:cs="Arial"/>
          <w:b/>
        </w:rPr>
      </w:pPr>
      <w:r w:rsidRPr="00215563">
        <w:rPr>
          <w:rFonts w:ascii="Arial" w:hAnsi="Arial" w:cs="Arial"/>
          <w:b/>
        </w:rPr>
        <w:t xml:space="preserve">16 сентября 1999г. </w:t>
      </w:r>
    </w:p>
    <w:p w:rsidR="00215563" w:rsidRPr="00215563" w:rsidRDefault="00215563" w:rsidP="00215563">
      <w:pPr>
        <w:contextualSpacing/>
        <w:mirrorIndents/>
        <w:rPr>
          <w:rFonts w:ascii="Arial" w:hAnsi="Arial" w:cs="Arial"/>
          <w:b/>
        </w:rPr>
      </w:pPr>
    </w:p>
    <w:p w:rsidR="00215563" w:rsidRPr="00215563" w:rsidRDefault="00215563" w:rsidP="00215563">
      <w:pPr>
        <w:contextualSpacing/>
        <w:mirrorIndents/>
        <w:rPr>
          <w:rFonts w:ascii="Arial" w:hAnsi="Arial" w:cs="Arial"/>
          <w:b/>
        </w:rPr>
      </w:pPr>
      <w:r w:rsidRPr="00215563">
        <w:rPr>
          <w:rFonts w:ascii="Arial" w:hAnsi="Arial" w:cs="Arial"/>
          <w:b/>
        </w:rPr>
        <w:t xml:space="preserve">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w:t>
      </w:r>
    </w:p>
    <w:p w:rsidR="00215563" w:rsidRPr="00215563" w:rsidRDefault="00215563" w:rsidP="00215563">
      <w:pPr>
        <w:contextualSpacing/>
        <w:mirrorIndents/>
        <w:rPr>
          <w:rFonts w:ascii="Arial" w:hAnsi="Arial" w:cs="Arial"/>
        </w:rPr>
      </w:pPr>
    </w:p>
    <w:p w:rsidR="00215563" w:rsidRPr="00215563" w:rsidRDefault="00215563" w:rsidP="00215563">
      <w:pPr>
        <w:contextualSpacing/>
        <w:mirrorIndents/>
        <w:rPr>
          <w:rFonts w:ascii="Arial" w:hAnsi="Arial" w:cs="Arial"/>
        </w:rPr>
      </w:pPr>
      <w:r w:rsidRPr="00215563">
        <w:rPr>
          <w:rFonts w:ascii="Arial" w:hAnsi="Arial" w:cs="Arial"/>
        </w:rPr>
        <w:t xml:space="preserve"> ____________________________________________________________________</w:t>
      </w:r>
    </w:p>
    <w:p w:rsidR="00215563" w:rsidRPr="00215563" w:rsidRDefault="00215563" w:rsidP="00215563">
      <w:pPr>
        <w:contextualSpacing/>
        <w:mirrorIndents/>
        <w:rPr>
          <w:rFonts w:ascii="Arial" w:hAnsi="Arial" w:cs="Arial"/>
        </w:rPr>
      </w:pPr>
    </w:p>
    <w:p w:rsidR="00215563" w:rsidRPr="00215563" w:rsidRDefault="00215563" w:rsidP="00215563">
      <w:pPr>
        <w:contextualSpacing/>
        <w:mirrorIndents/>
        <w:rPr>
          <w:rFonts w:ascii="Arial" w:hAnsi="Arial" w:cs="Arial"/>
        </w:rPr>
      </w:pPr>
      <w:r w:rsidRPr="00215563">
        <w:rPr>
          <w:rFonts w:ascii="Arial" w:hAnsi="Arial" w:cs="Arial"/>
        </w:rPr>
        <w:t xml:space="preserve">     Принят постановлением Тюменской областной Думы от 16.09.1999 года №752</w:t>
      </w:r>
    </w:p>
    <w:p w:rsidR="00215563" w:rsidRPr="00215563" w:rsidRDefault="00215563" w:rsidP="00215563">
      <w:pPr>
        <w:contextualSpacing/>
        <w:mirrorIndents/>
        <w:rPr>
          <w:rFonts w:ascii="Arial" w:hAnsi="Arial" w:cs="Arial"/>
        </w:rPr>
      </w:pPr>
      <w:r w:rsidRPr="00215563">
        <w:rPr>
          <w:rFonts w:ascii="Arial" w:hAnsi="Arial" w:cs="Arial"/>
        </w:rPr>
        <w:t xml:space="preserve">     Текст документа с изменениями и дополнениями, внесенными</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13.01.01г. №248</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05.07.01г. №364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16.03.04г. №221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05.11.04г. №267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03.06.05г. №384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08.07.08г. №34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26.03.09г. №14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26.02.10г. №3 </w:t>
      </w:r>
    </w:p>
    <w:p w:rsidR="00215563" w:rsidRPr="00215563" w:rsidRDefault="00215563" w:rsidP="00215563">
      <w:pPr>
        <w:contextualSpacing/>
        <w:mirrorIndents/>
        <w:rPr>
          <w:rFonts w:ascii="Arial" w:hAnsi="Arial" w:cs="Arial"/>
        </w:rPr>
      </w:pPr>
      <w:r w:rsidRPr="00215563">
        <w:rPr>
          <w:rFonts w:ascii="Arial" w:hAnsi="Arial" w:cs="Arial"/>
        </w:rPr>
        <w:t xml:space="preserve">     Законом Тюменской области от 24.12.10г. №93 </w:t>
      </w:r>
    </w:p>
    <w:p w:rsidR="00215563" w:rsidRPr="00215563" w:rsidRDefault="00215563" w:rsidP="00215563">
      <w:pPr>
        <w:contextualSpacing/>
        <w:mirrorIndents/>
        <w:rPr>
          <w:rFonts w:ascii="Arial" w:hAnsi="Arial" w:cs="Arial"/>
        </w:rPr>
      </w:pPr>
    </w:p>
    <w:p w:rsidR="00215563" w:rsidRPr="00215563" w:rsidRDefault="00215563" w:rsidP="00215563">
      <w:pPr>
        <w:contextualSpacing/>
        <w:mirrorIndents/>
        <w:rPr>
          <w:rFonts w:ascii="Arial" w:hAnsi="Arial" w:cs="Arial"/>
        </w:rPr>
      </w:pPr>
      <w:r w:rsidRPr="00215563">
        <w:rPr>
          <w:rFonts w:ascii="Arial" w:hAnsi="Arial" w:cs="Arial"/>
        </w:rPr>
        <w:t xml:space="preserve"> ____________________________________________________________________ </w:t>
      </w:r>
    </w:p>
    <w:p w:rsidR="00215563" w:rsidRPr="00215563" w:rsidRDefault="00215563" w:rsidP="00215563">
      <w:pPr>
        <w:contextualSpacing/>
        <w:mirrorIndents/>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Настоящий Закон в соответствии с Конституцией Российской Федерации, Жилищным кодексом Российской Федерации, иными нормативными правовыми актами Российской Федерации и Тюменской области устанавливает категории граждан, нуждающихся в предоставлении жилых помещений по договорам социального найма, порядок их учета и предоставления им жилых помещений государственного жилищного фонда Тюменской области, порядок предоставления жилых помещений специализированного жилищного фонда.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Глава I. Общие положения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 Основные понятия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настоящем Законе в соответствии с федеральным законодательством используется следующее понятие: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норма предоставления площади жилого помещения по договору социального найма в государственном жилищном фонде Тюменской области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в государственном жилищном фонде Тюменской области категориям граждан, установленным в части второй статьи 7 настоящего Закона. Норма предоставления устанавливается в размере </w:t>
      </w:r>
      <w:smartTag w:uri="urn:schemas-microsoft-com:office:smarttags" w:element="metricconverter">
        <w:smartTagPr>
          <w:attr w:name="ProductID" w:val="18 кв. м"/>
        </w:smartTagPr>
        <w:r w:rsidRPr="00215563">
          <w:rPr>
            <w:rFonts w:ascii="Arial" w:hAnsi="Arial" w:cs="Arial"/>
          </w:rPr>
          <w:t>18 кв. м</w:t>
        </w:r>
      </w:smartTag>
      <w:r w:rsidRPr="00215563">
        <w:rPr>
          <w:rFonts w:ascii="Arial" w:hAnsi="Arial" w:cs="Arial"/>
        </w:rPr>
        <w:t xml:space="preserve"> общей площади жилого помещения на одного члена семьи, за исключением случаев, предусмотренных действующими нормативными правовыми актами.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Иные понятия применяются в значениях, используемых в федеральном законодательстве.</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 Граждане, принимаемые на учет для предоставления им жилых помещений по договорам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по договорам социального найма предоставляются гражданам, постоянно проживающим в Тюменской области, относящимся к категориям, установленным в статье 7 настоящего Закона, при условии принятия их на учет в качестве нуждающихся в жилых помещениях, предоставляемых по договорам социального найма (далее - нуждающиеся в жилых помещениях), за исключением случаев, установленных Жилищным кодексом Российской Федерации, а в отношении категорий, установленных в части второй статьи 7, - и (или) решением уполномоченного органа исполнительной власти Тюменской области при предоставлении жилых помещений из государственного жилищного фонда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 Права граждан на жилые помещения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Граждане с целью улучшения своих жилищных условий имеют право:</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а) на предоставление жилого помещения: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по договору социального найма в государственном и муниципальном жилищном фонде в пределах нормы предоставления площади жилого помещения в порядке, установленном Жилищным кодексом Российской Федерации, настоящим Законом, нормативными правовыми актами органов местного самоуправления;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по договору найма жилого помещения в жилищном фонде коммерческого использования в порядке, установленном настоящим Законом;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б) на приобретение жилого помещения:</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у собственников жилых помещений;</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путем участия в строительстве жилья жилищными и жилищно-строительными кооперативами;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путем участия в долевом строительстве многоквартирного жилого дома;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по другим законным основаниям.</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Статья 4. - исключена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5. Принципы учета граждан, установления очередности и распределения жилых помещений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Учет граждан, нуждающихся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 органах местного самоуправления и в учреждениях бюджетной сферы, а также в организациях иных организационно-правовых форм, образованных в результате реорганизации государственных и (или) муниципальных учреждений, в которых на момент реорганизации велся учет нуждающихся в жилых помещениях (далее - организации бюджетной сферы), могут создаваться комиссии по жилищным вопросам, порядок работы и состав которых утверждаются соответственно органами местного самоуправления и администрациями этих организаций..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Глава II. Основания признания граждан нуждающимися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6. Граждане, нуждающиеся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Нуждающимися в жилых помещениях, предоставляемых по договору социального найма, являются граждане, признанные таковыми по основаниям, установленным статьей 51 Жилищного кодекса Российской Федерации.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Право на дополнительную жилую площадь не является основанием для признания граждан нуждающимися в жилых помещениях, за исключением случаев, предусмотренных законодательством Российской Федерации.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7. Граждане, имеющие право на предоставление им жилых помещений по договору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Право на предоставление жилых помещений по договору социального найма из муниципального жилищного фонда имеют граждане, признанные малоимущими в порядке, установленном настоящим Законом, и нуждающимися в жилых помещениях в соответствии со статьями 6 и 8 настоящего Закона.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Право на предоставление жилых помещений по договорам социального найма из государственного жилищного фонда Тюменской области имеют </w:t>
      </w:r>
      <w:r w:rsidRPr="00215563">
        <w:rPr>
          <w:rFonts w:ascii="Arial" w:hAnsi="Arial" w:cs="Arial"/>
        </w:rPr>
        <w:lastRenderedPageBreak/>
        <w:t>следующие граждане, признанные в соответствии со статьями 6 и 8 настоящего Закона нуждающимися в жилых помещениях: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а) инвалиды и участники Великой Отечественной войны, инвалиды и участники боевых действий на территориях других государств в соответствии с Законом Российской Федерации "О ветеранах";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родители, не вступившая (не вступивший) в повторный брак супруга (супруг) погибшего инвалида, участника Великой Отечественной войны, ветерана боевых 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дети-сироты и дети, оставшиеся без попечения родителей, лица из числа детей-сирот и детей, оставшихся без попечения родителей, не имеющие закрепленного жилого помещения, по окончании пребывания в образовательных или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срока службы в Вооруженных Силах Российской Федерации или по возвращении из учреждений, исполняющих наказание в виде лишения свободы;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 инвалиды первой и второй групп, вставшие на учет нуждающихся в жилых помещениях после 1 января 2005 года;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д) участники ликвидации аварии на Чернобыльской АЭС и приравненные к ним категории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вставшие на учет нуждающихся в жилых помещениях после 1 января 2005 года;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е) граждане - жертвы политических репрессий;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 граждане, работающие в организациях бюджетной сферы;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з) иные граждане, определенные областными целевыми программами.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Если гражданин имеет право состоять на учете в качестве нуждающегося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Статья 8. Основания, исключающие возможность признания граждан нуждающимися в жилых помещениях, предоставляемых по договору социального найма из государственного жилищного фонда Тюменской области</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Не могут быть признаны нуждающимися в жилых помещениях, предоставляемых по договорам социального найма из государственного жилищного фонда Тюменской области, граждане: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а) указанные в подпунктах «г» - «е» части второй статьи 7, имеющие в собственности, кроме занимаемого жилого помещения, недвижимое или иное </w:t>
      </w:r>
      <w:r w:rsidRPr="00215563">
        <w:rPr>
          <w:rFonts w:ascii="Arial" w:hAnsi="Arial" w:cs="Arial"/>
        </w:rPr>
        <w:lastRenderedPageBreak/>
        <w:t>имущество, подлежащее государственной регистрации, стоимостью свыше тысячекратного минимального размера оплаты труда, установленного на момент подачи заявления;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б) - исключена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имеющие жилое помещение в других регионах Российской Федерации, в том числе занимаемое по договору социального найма;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 получившие на строительство (приобретение) жилья средства из федерального, областного или местного бюджетов;</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д) являющиеся членами жилищного, жилищно-строительного кооператива и осуществляющие строительство жилого помещения за счет средств федерального, областного или местного бюджетов;</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в порядке, установленном настоящим Законом.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2.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кодексом Российской Федерации устанавливается органами местного самоуправления в порядке, установленном настоящим Законом.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Размер дохода, приходящегося на каждого члена семьи, и стоимости подлежащего налогообложению имущества определяется на момент подачи заявления о принятии на учет нуждающихся в жилых помещениях, предоставляемых по договорам социального найма.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3. Для определения размера дохода, приходящегося на каждого члена семьи, применяется 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w:t>
      </w:r>
      <w:r w:rsidRPr="00215563">
        <w:rPr>
          <w:rFonts w:ascii="Arial" w:hAnsi="Arial" w:cs="Arial"/>
        </w:rPr>
        <w:lastRenderedPageBreak/>
        <w:t>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Органы местного самоуправления признают гражданина малоимущим, если его доходы по независящим от него причинам (указанным в Законе Тюменской области «О социальной поддержке отдельных категорий граждан в Тюменской области» или признанным таковыми по решению органов местного самоуправления) ниже размера дохода и стоимости имущества, установленного органами местного самоуправления. Установленный органами местного 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4. Размер стоимости имущества, подлежащего налогообложению, находящегося в собственности членов семьи, учитывается исходя из данных об инвентаризационной стоимости недвижимого имущества, кадастровой стоимости земельных участков, заявленной гражданином стоимости транспортных средств (в случае несогласия органа местного самоуправления с оценкой стоимости транспортного средства она определяется экспертными организациями).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Для решения вопроса о признании малоимущим гражданин подает в орган местного самоуправления заявление с приложением следующих документов: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1) справка территориального органа социальной защиты населения о размере дохода, приходящегося на каждого члена семьи или одиноко проживающего гражданина, исходя из видов доходов, определяемых в соответствии с частью 3 статьи 8.1 настоящего Закона;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2) документ из органа налоговой службы о подлежащих уплате или уплаченных налогах на недвижимое имущество и транспортные средства (в случае отсутствия у гражданина и членов его семьи недвижимого имущества или транспортных средств, принадлежащих им на праве собственности, представляется справка органов, осуществляющих регистрацию прав на недвижимое имущество и транспортные средства);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3) документ, подтверждающий наличие независящих причин, указанных в части 3 статьи 8.1 настоящего Закона.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Порядок рассмотрения документов, представленных для решения вопроса о признании гражданина малоимущим, устанавливается органом местного самоуправления.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Документы для признания гражданина малоимущим представляются одновременно с документами, необходимыми для принятия на учет граждан, нуждающихся в жилых помещениях по основаниям, установленным статьей 51 Жилищного кодекса Российской Федерации.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Решение о признании гражданина малоимущим принимается органом местного самоуправления в течение тридцати рабочих дней со дня регистрации заявления в органе местного самоуправления.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Глава III. Порядок учета граждан,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9. Органы, осуществляющие учет граждан,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Ведение учета граждан, нуждающихся в жилых помещениях, осуществляется по месту жительства органами местного самоуправления или их структурными подразделениями в соответствии с их компетенцией.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Учет граждан, нуждающихся в жилых помещениях, и предоставление им жилья по месту работы в организациях бюджетной сферы осуществляются по решению администрации этих организаций в соответствии с настоящим Законом.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Учет граждан, указанных в пункте «ж» части второй статьи 7 настоящего Закона, ведется по месту их работы.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Администрации организаций ежегодно в срок до 1 апреля предоставляют в орган местного самоуправления списки граждан, принятых на учет нуждающихся в жилых помещениях, для регистрации.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Учет детей-сирот и детей, оставшихся без попечения родителей, а также лиц из их числа в качестве нуждающихся в жилых помещениях ведется по месту их жительства в соответствии с нормативным правовым актом Правительства Тюменской области.</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Статья 10. Порядок подачи и регистрации заявления граждан о принятии на учет нуждающихся в жилых помещениях</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Для принятия на учет нуждающихся в жилых помещениях гражданином подается заявление, подписываемое всеми проживающими совместно с ним совершеннолетними членами семьи. К заявлению прилагаются документы, необходимые для признания гражданина малоимущим (в соответствии со статьей 8.2 настоящего Закона) или относящимся к категории, установленной частью второй статьи 7 настоящего Закона, и документы, необходимые для признания гражданина нуждающимся в жилом помещении, перечень которых устанавливается органом местного самоуправления, уполномоченным осуществлять принятие на учет граждан в качестве нуждающихся в жилых помещениях (далее - орган местного самоуправления, осуществляющий принятие на учет).</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В отношении детей-сирот и детей, оставшихся без попечения родителей, документы, необходимые для их принятия на учет в качестве нуждающихся в жилых помещениях, подаются законными представителями детей-сирот и детей, оставшихся без попечения родителей, органом опеки и попечительства, детьми-сиротами, детьми, оставшимися без попечения родителей.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Заявление регистрируется в книге регистрации заявлений о принятии на учет граждан, нуждающихся в жилых помещениях, которая ведется по установленной форме в электронном виде. Заявление подлежит регистрации только при наличии всех необходимых прилагаемых к нему документов.</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11. Рассмотрение заявления граждан о принятии на учет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Органы, указанные в статье 9 настоящего Закона, проверяют заявление гражданина и вносят в орган местного самоуправления, осуществляющий принятие на учет, или руководителю организации бюджетной сферы предложения о принятии гражданина на учет или об отказе в постановке на учет.</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Орган местного самоуправления, осуществляющий принятие на учет, руководитель организации бюджетной сферы принимает решение о постановке гражданина на учет нуждающихся в жилых помещениях или об отказе в его постановке.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Граждане считаются принятыми на учет со дня вынесения соответствующего решения органа местного самоуправления, осуществляющего принятие на учет, или руководителя организации бюджетной сферы.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 одновременном рассмотрении заявлений нескольких граждан их очередность определяется по дате подачи ими заявления с необходимыми документами.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Заявления граждан рассматриваются в течение тридцати рабочих дней со дня поступления, о принятом решении гражданам сообщается в письменной форме.</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12. Списки граждан, принятых на учет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жилых помещений или относящиеся к категориям, установленным в части второй статьи 7 настоящего Закона.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отдельные списки могут включаться: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а) граждане, которым жилые помещения могут быть предоставлены по договору найма жилого помещения в жилищном фонде коммерческого использования;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б) граждане, желающие приобрести в собственность жилые помещения в государственном и муниципальном жилищном фонде с использованием социальных выплат и иных льгот, установленных действующим законодательством.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Копии списков граждан, принятых на учет по месту работы, передаются в орган местного самоуправления, который вправе возвратить данные списки для повторного рассмотрения в случае выявления нарушений действующего законодательства при принятии на учет.</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Статья 13. Книга учета граждан, нуждающихся в жилых помещениях</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Принятые на учет граждане включаются в книгу учета граждан, нуждающихся в жилых помещениях, которая ведется соответственно по месту жительства и (или) работы как документ строгой отчетности.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постановки на учет.</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Органы местного самоуправления и организации бюджетной сферы обеспечивают надлежащее хранение книг, списков очередников и учетных дел граждан.</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14. Перерегистрация граждан, состоящих на учете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изменения условий, послуживших основанием для принятия гражданина на учет нуждающихся в жилых помещениях, данный гражданин обязан представить документальное подтверждение изменившихся данных.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необходимости органы местного самоуправления дополнительно проверяют жилищные условия очередников, запрашивают сведения о доходах, наличии у граждан и членов их семьи недвижимого и иного имущества, подлежащего государственной регистрации, другие сведения, которые были представлены при постановке на учет, и уточняют списки граждан, состоящих на учете.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изменения оснований, по которым граждане были приняты на учет, они подлежат переводу в списки учета граждан в соответствии с изменившимися условиями либо снятию с учета.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15. Основания снятия граждан с учета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Граждане снимаются с учета в качестве нуждающихся в жилых помещениях в случаях, установленных статьей 56 Жилищного кодекса Российской Федерации, а также в случае необоснованного отказа гражданина, состоящего на учете, от трех предлагаемых вариантов предоставления ему жилых помещений, отвечающих установленным санитарным и техническим требованиям и соответствующих норме предоставления площади жилых помещений по договорам социального найма.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16. Порядок снятия граждан с учета нуждающихся в жилых помещениях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Снятие с учета осуществляется органом, принявшим граждан на учет нуждающихся в жилых помещениях.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 принятом решении граждане должны быть поставлены в известность в письменной форме с указанием основания снятия с учета не позднее чем через три рабочих дня со дня принятия такого решения, которое может быть обжаловано указанными гражданами в судебном порядке.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если после снятия с учета по основаниям, предусмотренным в статье 15 настоящего Закона, у гражданина вновь возникло право постановки на учет в качестве нуждающегося в жилых помещениях, предоставляемых по договорам социального найма, постановка на учет производится на общих основаниях.</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Глава IV. Предоставление жилых помещений по договору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17. Очередность предоставления жилых помещений по договорам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по договору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их на учет, за исключением случаев, установленных Жилищным кодексом Российской Федерации, а в отношении граждан, указанных в части второй статьи 7 настоящего Закона, - и (или) решением уполномоченного органа исполнительной власти Тюменской области при предоставлении жилых помещений из государственного жилищного фонда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Статья 18. - исключена Законом Тюменской области от 03.06.05г. №384 см. старую редакцию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19. Предоставление жилых помещений вне очереди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Вне очереди жилые помещения по договору социального найма предоставляются категориям граждан, указанных в части 2 статьи 57 Жилищного кодекса Российской Федерации.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20. - исключена Законом Тюменской области от 03.06.05г. №384 см. старую редакцию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21. - исключена Законом Тюменской области от 03.06.05г. №384 см. старую редакцию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22. Порядок предоставления жилых помещений по договору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Перед предоставлением жилых помещений, в целях проверки наличия или отсутствия оснований для снятия с учета нуждающихся в жилых помещениях, граждане должны вновь представить в органы местного самоуправления, организации бюджетной сферы документы, предусмотренные статьей 10 настоящего Закона, а также письменное обязательство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или договору найма жилых помещений государственного или муниципального специализированного жилищного фонда.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муниципального жилищного фонда предоставляются гражданам по решению органа местного самоуправления, осуществляющего принятие на учет.</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государственного жилищного фонда Тюменской области предоставляются по решению уполномоченного собственником органа.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23. Требования, предъявляемые к жилым помещениям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Жилые помещения по договору социального найма предоставляются на всех членов семьи, проживающих совместно, включая временно отсутствующих, за которыми сохраняется право пользования жилым помещением.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 определении размера предоставляемого жилого помещения учитываtnся беременность матери, начиная с 22-недельного срока, при условии предоставления документов, перечень которых устанавливается Правительством Тюменской области.</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Предоставляемое гражданам для проживания жилое помещение должно быть благоустроенным применительно к условиям данного населенного пункта, отвечать установленным санитарным и техническим требованиям, иметь износ не более 25%.</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Гражданам предоставляются жилые помещения по договорам социального найма общей площадью на каждого члена семьи по норме предоставления, установленной настоящим Законом, за исключением случаев, установленных действующим законодательством.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 отсутствии жилого помещения общей площадью, установленной частью четвертой настоящей статьи, в зависимости от имеющегося жилого помещения по договору социального найма может быть предоставлено жилое помещение: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1) общей площадью, превышающей норму предоставления площади жилого помещения по договору социального найма, но не более чем на </w:t>
      </w:r>
      <w:smartTag w:uri="urn:schemas-microsoft-com:office:smarttags" w:element="metricconverter">
        <w:smartTagPr>
          <w:attr w:name="ProductID" w:val="10 кв. м"/>
        </w:smartTagPr>
        <w:r w:rsidRPr="00215563">
          <w:rPr>
            <w:rFonts w:ascii="Arial" w:hAnsi="Arial" w:cs="Arial"/>
          </w:rPr>
          <w:t>10 кв. м</w:t>
        </w:r>
      </w:smartTag>
      <w:r w:rsidRPr="00215563">
        <w:rPr>
          <w:rFonts w:ascii="Arial" w:hAnsi="Arial" w:cs="Arial"/>
        </w:rPr>
        <w:t>;</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2) общей площадью, превышающей двойную норму предоставления площади жилого помещения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по договору социального найма, но не более чем на </w:t>
      </w:r>
      <w:smartTag w:uri="urn:schemas-microsoft-com:office:smarttags" w:element="metricconverter">
        <w:smartTagPr>
          <w:attr w:name="ProductID" w:val="10 кв. м"/>
        </w:smartTagPr>
        <w:r w:rsidRPr="00215563">
          <w:rPr>
            <w:rFonts w:ascii="Arial" w:hAnsi="Arial" w:cs="Arial"/>
          </w:rPr>
          <w:t>10 кв. м</w:t>
        </w:r>
      </w:smartTag>
      <w:r w:rsidRPr="00215563">
        <w:rPr>
          <w:rFonts w:ascii="Arial" w:hAnsi="Arial" w:cs="Arial"/>
        </w:rPr>
        <w:t>,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3) общей площадью меньше нормы предоставления площади жилого помещения по договору социального найма, но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Положения частей первой, второй и четвертой настоящей статьи не распространяются на случаи предоставления жилого помещения по договору социального найма категории граждан, установленной пунктом «в» части второй статьи 7 настоящего Закона.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24. Обстоятельства, учитываемые при предоставлении жилых помещений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При предоставлении гражданам жилых помещений на условиях социального найма не подлежат обязательному удовлетворению их требования о предоставлении жилого помещения определенного качества, в определенном доме или определенном районе города, за исключением случаев, предусмотренных законодательством Российской Федерации и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государственного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отсутствия жилого помещения государственного жилищного фонда Тюменской области, указанного в части третьей настоящей статьи, и невозможности приобретения жилых помещений в 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Порядок и условия предоставления дополнительной площади, перечень категорий граждан, имеющих право на ее получение, устанавливаются законодательством Российской Федерации и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частной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Не является намеренным ухудшением жилищных условий вселение гражданином в свое жилое помещение следующих лиц:</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супруга;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несовершеннолетних детей;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совершеннолетних нетрудоспособных детей, нуждающихся в уходе родителей;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нетрудоспособных родителей, нуждающихся в постороннем уходе;</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детей или других родственников, а в исключительных случаях _ иных граждан, если они вселены в качестве членов семьи, с целью ухода за нетрудоспособными гражданами, указанными в пунктах «а» и «б» части второй статьи 7 настоящего Закона.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Порядок подтверждения необходимости постоянного ухода определяется Правительством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При определении общей площади предоставляемого гражданину жилого помещения государственного жилищного фонда Тюменской области учитывается </w:t>
      </w:r>
      <w:r w:rsidRPr="00215563">
        <w:rPr>
          <w:rFonts w:ascii="Arial" w:hAnsi="Arial" w:cs="Arial"/>
        </w:rPr>
        <w:lastRenderedPageBreak/>
        <w:t>площадь жилого помещения, находящегося в его собственности или занимаемого им по договору социального найма.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Статья 25. - исключена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Статья 26. - исключена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Статья 27. - исключена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28. - исключена Законом Тюменской области от 03.06.05г. №384 см. старую редакцию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29. Заключение договора социального найма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Лицо, которому предоставлено жилое помещение, в срок, установленный в решении о 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на равнозначное.</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Глава V. Порядок предоставления жилых помещений специализированного жилищного фонда и жилых помещений по договору найма в жилищном фонде коммерческого использования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30. Жилые помещения специализированного жилищного фонда Тюменской области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 xml:space="preserve">     Жилые помещения жилищного фонда Тюменской области по решению Правительства Тюменской области могут быть включены в специализированный жилищный фонд с отнесением таких помещений к определенному виду специализированных жилых помещений:</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1) служебные жилые помещения;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2) жилые помещения в общежитиях;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3) жилые помещения маневренного фонда;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4) жилые помещения в домах системы социального обслуживания населения;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5) жилые помещения для социальной защиты отдельных категорий граждан.</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части второй настоящей статьи, и в отношении лиц, указанных в абзацах втором, третьем и шестом части второй статьи 31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31. Предоставление служебных жилых помещений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Служебные жилые помещения предоставляются гражданам в виде отдельной квартиры, жилого дома.</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Служебные жилые помещения жилищного фонда Тюменской области предоставляются: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лицам, замещающим государственные должности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государственным гражданским служащим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работникам государственных унитарных предприятий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работникам государственных учреждений Тюменской области и иных организаций, учрежденных Тюменской областью;</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работникам органов внутренних дел, проходящим службу в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 иным категориям граждан, установленным Правительством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w:t>
      </w:r>
      <w:r w:rsidRPr="00215563">
        <w:rPr>
          <w:rFonts w:ascii="Arial" w:hAnsi="Arial" w:cs="Arial"/>
        </w:rPr>
        <w:lastRenderedPageBreak/>
        <w:t>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Лицам, указанным в абзаце седьмом части второй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32. Предоставление жилых помещений по договору найма в жилищном фонде коммерческого использования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жилищного фонда Тюменской области по решению Правительства Тюменской области могут быть включены в жилищный фонд коммерческого использования.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жилищного фонда коммерческого использования могут предоставляться (с правом выкупа или без) лицам, указанным в части второй статьи 31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указанных в части второй настоящей статьи, и в отношении лиц, указанных в абзацах втором, третьем и шестом части второй статьи 31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33. Основания для заселения жилого помещения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Основанием для заселения жилого помещения в жилищном фонде коммерческого использования является договор найма.</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lastRenderedPageBreak/>
        <w:t>Статья 34. - исключена Законом Тюменской области от 03.06.05г. №384 см. старую редакцию</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Глава VII. Заключительные положения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Статья 36. Порядок вступления настоящего Закона в силу </w:t>
      </w: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Настоящий Закон вступает в силу со дня его официального опубликования.</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С введением в действие настоящего Закона считать утратившим силу постановление исполкома Тюменского областного совета народных депутатов и областного совета профессиональных союзов от 20.04.86 №140 “Об утверждении Правил учета граждан, нуждающихся в улучшении жилищных условий, и предоставления жилых помещений в Тюменской области”.</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w:t>
      </w:r>
    </w:p>
    <w:p w:rsidR="00215563" w:rsidRPr="00215563" w:rsidRDefault="00215563" w:rsidP="00215563">
      <w:pPr>
        <w:ind w:firstLine="709"/>
        <w:contextualSpacing/>
        <w:mirrorIndents/>
        <w:jc w:val="both"/>
        <w:rPr>
          <w:rFonts w:ascii="Arial" w:hAnsi="Arial" w:cs="Arial"/>
        </w:rPr>
      </w:pPr>
      <w:r w:rsidRPr="00215563">
        <w:rPr>
          <w:rFonts w:ascii="Arial" w:hAnsi="Arial" w:cs="Arial"/>
        </w:rPr>
        <w:t xml:space="preserve">     За гражданами, принятыми на учет для улучшения жилищных условий до вступления в силу настоящего Закона в соответствии с "Правилами учета граждан, нуждающихся в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№140 с последующими изменениями и дополнениями, сохраняется право на жилые помещения в соответствии с существующей очередностью, а также с учетом установленных настоящим Законом льгот по предоставлению жилых помещений.</w:t>
      </w:r>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r w:rsidRPr="00215563">
        <w:rPr>
          <w:rFonts w:ascii="Arial" w:hAnsi="Arial" w:cs="Arial"/>
        </w:rPr>
        <w:t xml:space="preserve">     Губернатор Тюменской области                              Л.Ю. Рокецкий</w:t>
      </w:r>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p>
    <w:p w:rsidR="00215563" w:rsidRPr="00215563" w:rsidRDefault="00215563" w:rsidP="00215563">
      <w:pPr>
        <w:ind w:firstLine="709"/>
        <w:contextualSpacing/>
        <w:mirrorIndents/>
        <w:rPr>
          <w:rFonts w:ascii="Arial" w:hAnsi="Arial" w:cs="Arial"/>
        </w:rPr>
      </w:pPr>
      <w:r w:rsidRPr="00215563">
        <w:rPr>
          <w:rFonts w:ascii="Arial" w:hAnsi="Arial" w:cs="Arial"/>
        </w:rPr>
        <w:t xml:space="preserve">     7 октября 1999г.</w:t>
      </w:r>
    </w:p>
    <w:p w:rsidR="00215563" w:rsidRPr="00215563" w:rsidRDefault="00215563" w:rsidP="00215563">
      <w:pPr>
        <w:ind w:firstLine="709"/>
        <w:contextualSpacing/>
        <w:mirrorIndents/>
        <w:rPr>
          <w:rFonts w:ascii="Arial" w:hAnsi="Arial" w:cs="Arial"/>
        </w:rPr>
      </w:pPr>
      <w:r w:rsidRPr="00215563">
        <w:rPr>
          <w:rFonts w:ascii="Arial" w:hAnsi="Arial" w:cs="Arial"/>
        </w:rPr>
        <w:t xml:space="preserve">     №137  г.Тюмень</w:t>
      </w:r>
    </w:p>
    <w:p w:rsidR="0052019F" w:rsidRPr="00215563" w:rsidRDefault="0052019F" w:rsidP="00215563">
      <w:pPr>
        <w:rPr>
          <w:rFonts w:ascii="Arial" w:hAnsi="Arial" w:cs="Arial"/>
          <w:b/>
        </w:rPr>
      </w:pPr>
    </w:p>
    <w:p w:rsidR="00215563" w:rsidRPr="00215563" w:rsidRDefault="00215563">
      <w:pPr>
        <w:rPr>
          <w:rFonts w:ascii="Arial" w:hAnsi="Arial" w:cs="Arial"/>
          <w:b/>
        </w:rPr>
      </w:pPr>
    </w:p>
    <w:sectPr w:rsidR="00215563" w:rsidRPr="00215563" w:rsidSect="00215563">
      <w:pgSz w:w="11907" w:h="16840" w:code="9"/>
      <w:pgMar w:top="1134" w:right="851" w:bottom="1134"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5563"/>
    <w:rsid w:val="00215563"/>
    <w:rsid w:val="003041E9"/>
    <w:rsid w:val="0052019F"/>
    <w:rsid w:val="00C15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5787</Words>
  <Characters>32987</Characters>
  <Application>Microsoft Office Word</Application>
  <DocSecurity>0</DocSecurity>
  <Lines>274</Lines>
  <Paragraphs>77</Paragraphs>
  <ScaleCrop>false</ScaleCrop>
  <Company>Reanimator Extreme Edition</Company>
  <LinksUpToDate>false</LinksUpToDate>
  <CharactersWithSpaces>38697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2017-05-11T09:14:00Z</dcterms:created>
  <dcterms:modified xsi:type="dcterms:W3CDTF">2017-05-11T09:14:00Z</dcterms:modified>
</cp:coreProperties>
</file>